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krzyżówkach prasowych publikowanych i współorganizowanych przez czasopisma: „Rozrywka dla Każdego”, „Rozrywka Magazyn”, „Jolki na 102”, „Rozrywka. Nie Tylko Sudoku”, „Jolki na Cały Rok”, „Rozrywka od A do Z”, „Rozrywka do Podróży”, „Rozrywka z Przymrużeniem Oka”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b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finansowe,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Wyklucza się możliwość zamiany nagrody rzeczowej na jej równowartość w gotówce, chyba że w materiałach promocyjnych dotyczących Krzyżówki określono inaczej.</w:t>
      </w:r>
      <w:br/>
      <w:r>
        <w:rPr/>
        <w:t xml:space="preserve">10. W losowaniu nagród biorą udział wyłącznie oryginalne kupony z czasopism o których mowa w § 1 ust. 1.</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pocztą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2026-09-16T08:09:42+00:00</dcterms:created>
  <dcterms:modified xsi:type="dcterms:W3CDTF">2026-09-16T08:09:42+00:00</dcterms:modified>
</cp:coreProperties>
</file>

<file path=docProps/custom.xml><?xml version="1.0" encoding="utf-8"?>
<Properties xmlns="http://schemas.openxmlformats.org/officeDocument/2006/custom-properties" xmlns:vt="http://schemas.openxmlformats.org/officeDocument/2006/docPropsVTypes"/>
</file>